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3F6" w:rsidRDefault="008863F6" w:rsidP="008863F6">
      <w:pPr>
        <w:pStyle w:val="Heading1"/>
        <w:jc w:val="center"/>
        <w:rPr>
          <w:b/>
          <w:sz w:val="40"/>
        </w:rPr>
      </w:pPr>
      <w:r>
        <w:rPr>
          <w:b/>
          <w:sz w:val="40"/>
        </w:rPr>
        <w:t>Secondary Transition Frequently Asked Questions</w:t>
      </w:r>
    </w:p>
    <w:p w:rsidR="008863F6" w:rsidRDefault="008863F6" w:rsidP="008863F6"/>
    <w:p w:rsidR="008863F6" w:rsidRDefault="008863F6" w:rsidP="008863F6">
      <w:pPr>
        <w:pStyle w:val="Heading2"/>
      </w:pPr>
      <w:r>
        <w:t>What are measurable postsecondary goals?  How are they different from annual goals?</w:t>
      </w:r>
    </w:p>
    <w:p w:rsidR="008863F6" w:rsidRDefault="008863F6" w:rsidP="008863F6">
      <w:pPr>
        <w:rPr>
          <w:rFonts w:eastAsia="MS Mincho" w:cstheme="minorHAnsi"/>
        </w:rPr>
      </w:pPr>
      <w:r>
        <w:rPr>
          <w:rFonts w:eastAsia="MS Mincho" w:cstheme="minorHAnsi"/>
        </w:rPr>
        <w:t xml:space="preserve">Measurable postsecondary goals measure an outcome that occurs </w:t>
      </w:r>
      <w:r>
        <w:rPr>
          <w:rFonts w:eastAsia="MS Mincho" w:cstheme="minorHAnsi"/>
          <w:u w:val="single"/>
        </w:rPr>
        <w:t>after</w:t>
      </w:r>
      <w:r>
        <w:rPr>
          <w:rFonts w:eastAsia="MS Mincho" w:cstheme="minorHAnsi"/>
        </w:rPr>
        <w:t xml:space="preserve"> a student leaves high school, as opposed to an annual goal which describes a skill the student must attain by the end of the IEP year.  Measurable postsecondary goals (MPGs) must be developed that address the areas of </w:t>
      </w:r>
    </w:p>
    <w:p w:rsidR="008863F6" w:rsidRDefault="008863F6" w:rsidP="008863F6">
      <w:pPr>
        <w:numPr>
          <w:ilvl w:val="1"/>
          <w:numId w:val="1"/>
        </w:numPr>
        <w:rPr>
          <w:rFonts w:eastAsia="MS Mincho" w:cstheme="minorHAnsi"/>
        </w:rPr>
      </w:pPr>
      <w:r>
        <w:rPr>
          <w:rFonts w:eastAsia="MS Mincho" w:cstheme="minorHAnsi"/>
        </w:rPr>
        <w:t xml:space="preserve">Training/education, </w:t>
      </w:r>
    </w:p>
    <w:p w:rsidR="008863F6" w:rsidRDefault="008863F6" w:rsidP="008863F6">
      <w:pPr>
        <w:numPr>
          <w:ilvl w:val="1"/>
          <w:numId w:val="1"/>
        </w:numPr>
        <w:rPr>
          <w:rFonts w:eastAsia="MS Mincho" w:cstheme="minorHAnsi"/>
        </w:rPr>
      </w:pPr>
      <w:r>
        <w:rPr>
          <w:rFonts w:eastAsia="MS Mincho" w:cstheme="minorHAnsi"/>
        </w:rPr>
        <w:t>Employment, and</w:t>
      </w:r>
    </w:p>
    <w:p w:rsidR="008863F6" w:rsidRDefault="008863F6" w:rsidP="008863F6">
      <w:pPr>
        <w:numPr>
          <w:ilvl w:val="1"/>
          <w:numId w:val="1"/>
        </w:numPr>
        <w:rPr>
          <w:rFonts w:eastAsia="MS Mincho" w:cstheme="minorHAnsi"/>
        </w:rPr>
      </w:pPr>
      <w:r>
        <w:rPr>
          <w:rFonts w:eastAsia="MS Mincho" w:cstheme="minorHAnsi"/>
        </w:rPr>
        <w:t xml:space="preserve">When appropriate, independent living. </w:t>
      </w:r>
    </w:p>
    <w:p w:rsidR="008863F6" w:rsidRDefault="008863F6" w:rsidP="008863F6">
      <w:pPr>
        <w:pStyle w:val="NormalWeb"/>
        <w:spacing w:before="0" w:beforeAutospacing="0" w:after="0" w:afterAutospacing="0"/>
      </w:pPr>
      <w:r>
        <w:rPr>
          <w:rFonts w:asciiTheme="minorHAnsi" w:eastAsiaTheme="minorEastAsia" w:hAnsi="Calibri" w:cstheme="minorBidi"/>
          <w:color w:val="000000" w:themeColor="text1"/>
          <w:kern w:val="24"/>
        </w:rPr>
        <w:t xml:space="preserve">The measurable postsecondary goals provide the context for all the planning that occurs during the development of the student’s IEP. The appropriate measurable postsecondary goals are based upon age-appropriate transition assessments and reflect the student’s needs, strengths, preferences, and interests—what he or she wants to do.  </w:t>
      </w:r>
    </w:p>
    <w:p w:rsidR="008863F6" w:rsidRDefault="008863F6" w:rsidP="008863F6"/>
    <w:p w:rsidR="008863F6" w:rsidRDefault="008863F6" w:rsidP="008863F6">
      <w:pPr>
        <w:pStyle w:val="Heading2"/>
      </w:pPr>
      <w:r>
        <w:t>What are secondary transition services?</w:t>
      </w:r>
    </w:p>
    <w:p w:rsidR="008863F6" w:rsidRDefault="008863F6" w:rsidP="008863F6">
      <w:pPr>
        <w:rPr>
          <w:rFonts w:eastAsia="MS Mincho" w:cstheme="minorHAnsi"/>
        </w:rPr>
      </w:pPr>
      <w:r>
        <w:rPr>
          <w:rFonts w:cstheme="minorHAnsi"/>
        </w:rPr>
        <w:t xml:space="preserve">Secondary transition services include activities, strategies, and/or services needed to support the student in achieving his/her measurable postsecondary goals.  </w:t>
      </w:r>
    </w:p>
    <w:p w:rsidR="008863F6" w:rsidRDefault="008863F6" w:rsidP="008863F6">
      <w:pPr>
        <w:rPr>
          <w:rFonts w:cstheme="minorHAnsi"/>
        </w:rPr>
      </w:pPr>
      <w:r>
        <w:rPr>
          <w:rFonts w:cstheme="minorHAnsi"/>
        </w:rPr>
        <w:t>The IEP must include the secondary transition services, including appropriate courses of study, needed to assist the student in reaching the postsecondary goals beginning at age 16.  Teams should consider each of the following areas when identifying secondary transition services:</w:t>
      </w:r>
    </w:p>
    <w:p w:rsidR="008863F6" w:rsidRDefault="008863F6" w:rsidP="008863F6">
      <w:pPr>
        <w:numPr>
          <w:ilvl w:val="1"/>
          <w:numId w:val="2"/>
        </w:numPr>
        <w:ind w:left="1080"/>
        <w:rPr>
          <w:rFonts w:cstheme="minorHAnsi"/>
        </w:rPr>
      </w:pPr>
      <w:r>
        <w:rPr>
          <w:rFonts w:cstheme="minorHAnsi"/>
        </w:rPr>
        <w:t>Instruction the student needs to receive in specific areas to complete needed courses</w:t>
      </w:r>
    </w:p>
    <w:p w:rsidR="008863F6" w:rsidRDefault="008863F6" w:rsidP="008863F6">
      <w:pPr>
        <w:numPr>
          <w:ilvl w:val="1"/>
          <w:numId w:val="2"/>
        </w:numPr>
        <w:ind w:left="1080"/>
        <w:rPr>
          <w:rFonts w:cstheme="minorHAnsi"/>
        </w:rPr>
      </w:pPr>
      <w:r>
        <w:rPr>
          <w:rFonts w:cstheme="minorHAnsi"/>
        </w:rPr>
        <w:t xml:space="preserve">Related services the student may need to benefit from special education while in school, and those services the student may need beyond school </w:t>
      </w:r>
    </w:p>
    <w:p w:rsidR="008863F6" w:rsidRDefault="008863F6" w:rsidP="008863F6">
      <w:pPr>
        <w:numPr>
          <w:ilvl w:val="1"/>
          <w:numId w:val="2"/>
        </w:numPr>
        <w:ind w:left="1080"/>
        <w:rPr>
          <w:rFonts w:cstheme="minorHAnsi"/>
        </w:rPr>
      </w:pPr>
      <w:r>
        <w:rPr>
          <w:rFonts w:cstheme="minorHAnsi"/>
        </w:rPr>
        <w:t>Community experiences provided outside school or in community settings</w:t>
      </w:r>
    </w:p>
    <w:p w:rsidR="008863F6" w:rsidRDefault="008863F6" w:rsidP="008863F6">
      <w:pPr>
        <w:numPr>
          <w:ilvl w:val="1"/>
          <w:numId w:val="2"/>
        </w:numPr>
        <w:ind w:left="1080"/>
        <w:rPr>
          <w:rFonts w:cstheme="minorHAnsi"/>
        </w:rPr>
      </w:pPr>
      <w:r>
        <w:rPr>
          <w:rFonts w:cstheme="minorHAnsi"/>
        </w:rPr>
        <w:t>Employment or other adult living experiences the student needs now in order to achieve postsecondary goals</w:t>
      </w:r>
    </w:p>
    <w:p w:rsidR="008863F6" w:rsidRDefault="008863F6" w:rsidP="008863F6">
      <w:pPr>
        <w:numPr>
          <w:ilvl w:val="1"/>
          <w:numId w:val="2"/>
        </w:numPr>
        <w:ind w:left="1080"/>
        <w:rPr>
          <w:rFonts w:cstheme="minorHAnsi"/>
        </w:rPr>
      </w:pPr>
      <w:r>
        <w:rPr>
          <w:rFonts w:cstheme="minorHAnsi"/>
        </w:rPr>
        <w:t>Acquisition of daily living skills (if appropriate)</w:t>
      </w:r>
    </w:p>
    <w:p w:rsidR="008863F6" w:rsidRDefault="008863F6" w:rsidP="008863F6">
      <w:pPr>
        <w:numPr>
          <w:ilvl w:val="1"/>
          <w:numId w:val="2"/>
        </w:numPr>
        <w:ind w:left="1080"/>
        <w:rPr>
          <w:rFonts w:cstheme="minorHAnsi"/>
        </w:rPr>
      </w:pPr>
      <w:r>
        <w:rPr>
          <w:rFonts w:cstheme="minorHAnsi"/>
        </w:rPr>
        <w:t>Functional vocational evaluation (if appropriate)</w:t>
      </w:r>
    </w:p>
    <w:p w:rsidR="008863F6" w:rsidRDefault="008863F6" w:rsidP="008863F6">
      <w:pPr>
        <w:rPr>
          <w:rFonts w:cstheme="minorHAnsi"/>
        </w:rPr>
      </w:pPr>
    </w:p>
    <w:p w:rsidR="008863F6" w:rsidRDefault="008863F6" w:rsidP="008863F6">
      <w:pPr>
        <w:rPr>
          <w:rFonts w:cstheme="minorHAnsi"/>
        </w:rPr>
      </w:pPr>
      <w:r>
        <w:rPr>
          <w:rFonts w:cstheme="minorHAnsi"/>
        </w:rPr>
        <w:t xml:space="preserve">There are five types of services that need to be considered when developing an IEP:  special education (instructional) services, related services, supplementary aids and services, program modifications, and supports for school personnel.  If any of those services would be needed to assist the student in reaching the measurable postsecondary goals, it would be considered a secondary transition service.  </w:t>
      </w:r>
    </w:p>
    <w:p w:rsidR="008863F6" w:rsidRDefault="008863F6" w:rsidP="008863F6">
      <w:pPr>
        <w:rPr>
          <w:rFonts w:cstheme="minorHAnsi"/>
        </w:rPr>
      </w:pPr>
    </w:p>
    <w:p w:rsidR="008863F6" w:rsidRDefault="008863F6" w:rsidP="008863F6">
      <w:pPr>
        <w:rPr>
          <w:rFonts w:cstheme="minorHAnsi"/>
        </w:rPr>
      </w:pPr>
    </w:p>
    <w:p w:rsidR="008863F6" w:rsidRDefault="00D43747" w:rsidP="00D43747">
      <w:pPr>
        <w:jc w:val="center"/>
        <w:rPr>
          <w:rFonts w:cstheme="minorHAnsi"/>
        </w:rPr>
      </w:pPr>
      <w:r>
        <w:rPr>
          <w:rFonts w:cstheme="minorHAnsi"/>
        </w:rPr>
        <w:t>2020</w:t>
      </w:r>
      <w:bookmarkStart w:id="0" w:name="_GoBack"/>
      <w:bookmarkEnd w:id="0"/>
    </w:p>
    <w:p w:rsidR="008863F6" w:rsidRDefault="008863F6" w:rsidP="008863F6">
      <w:pPr>
        <w:pStyle w:val="Heading2"/>
      </w:pPr>
      <w:r>
        <w:lastRenderedPageBreak/>
        <w:t>When is the description of Frequency, Location, and Duration required for a secondary transition service?</w:t>
      </w:r>
    </w:p>
    <w:p w:rsidR="008863F6" w:rsidRDefault="008863F6" w:rsidP="008863F6">
      <w:pPr>
        <w:rPr>
          <w:rFonts w:cstheme="minorHAnsi"/>
        </w:rPr>
      </w:pPr>
      <w:r>
        <w:rPr>
          <w:rFonts w:cstheme="minorHAnsi"/>
        </w:rPr>
        <w:t>If a secondary transition service meets the definition of a special education or related service, supplementary aid and service, or program modification, then the IEP must describe the frequency, location, and duration for that secondary transition service.</w:t>
      </w:r>
    </w:p>
    <w:p w:rsidR="008863F6" w:rsidRDefault="008863F6" w:rsidP="008863F6">
      <w:pPr>
        <w:rPr>
          <w:rFonts w:cstheme="minorHAnsi"/>
        </w:rPr>
      </w:pPr>
      <w:r>
        <w:rPr>
          <w:rFonts w:cstheme="minorHAnsi"/>
        </w:rPr>
        <w:t xml:space="preserve"> </w:t>
      </w:r>
    </w:p>
    <w:p w:rsidR="008863F6" w:rsidRDefault="008863F6" w:rsidP="008863F6">
      <w:pPr>
        <w:ind w:left="360"/>
        <w:rPr>
          <w:rFonts w:cstheme="minorHAnsi"/>
          <w:i/>
        </w:rPr>
      </w:pPr>
      <w:r>
        <w:rPr>
          <w:rFonts w:cstheme="minorHAnsi"/>
          <w:i/>
        </w:rPr>
        <w:t>Examples of secondary transition services with Frequency/Location/Duration descriptions:</w:t>
      </w:r>
    </w:p>
    <w:p w:rsidR="008863F6" w:rsidRDefault="008863F6" w:rsidP="008863F6">
      <w:pPr>
        <w:pStyle w:val="ListParagraph"/>
        <w:numPr>
          <w:ilvl w:val="0"/>
          <w:numId w:val="3"/>
        </w:numPr>
        <w:rPr>
          <w:rFonts w:cstheme="minorHAnsi"/>
        </w:rPr>
      </w:pPr>
      <w:r>
        <w:rPr>
          <w:rFonts w:cstheme="minorHAnsi"/>
        </w:rPr>
        <w:t>The student will receive transportation to take the student to visit the welding certification program at Southeast Community College.</w:t>
      </w:r>
    </w:p>
    <w:p w:rsidR="008863F6" w:rsidRDefault="008863F6" w:rsidP="008863F6">
      <w:pPr>
        <w:numPr>
          <w:ilvl w:val="1"/>
          <w:numId w:val="4"/>
        </w:numPr>
        <w:rPr>
          <w:rFonts w:eastAsia="Cambria" w:cstheme="minorHAnsi"/>
        </w:rPr>
      </w:pPr>
      <w:r>
        <w:rPr>
          <w:rFonts w:eastAsia="Cambria" w:cstheme="minorHAnsi"/>
        </w:rPr>
        <w:t>Frequency: once during first semester</w:t>
      </w:r>
    </w:p>
    <w:p w:rsidR="008863F6" w:rsidRDefault="008863F6" w:rsidP="008863F6">
      <w:pPr>
        <w:numPr>
          <w:ilvl w:val="1"/>
          <w:numId w:val="4"/>
        </w:numPr>
        <w:rPr>
          <w:rFonts w:eastAsia="Cambria" w:cstheme="minorHAnsi"/>
        </w:rPr>
      </w:pPr>
      <w:r>
        <w:rPr>
          <w:rFonts w:eastAsia="Cambria" w:cstheme="minorHAnsi"/>
        </w:rPr>
        <w:t>Location: school vehicle</w:t>
      </w:r>
    </w:p>
    <w:p w:rsidR="008863F6" w:rsidRDefault="008863F6" w:rsidP="008863F6">
      <w:pPr>
        <w:numPr>
          <w:ilvl w:val="1"/>
          <w:numId w:val="4"/>
        </w:numPr>
        <w:rPr>
          <w:rFonts w:eastAsia="Cambria" w:cstheme="minorHAnsi"/>
        </w:rPr>
      </w:pPr>
      <w:r>
        <w:rPr>
          <w:rFonts w:eastAsia="Cambria" w:cstheme="minorHAnsi"/>
        </w:rPr>
        <w:t>Duration: from the high school to Southeast CC and back</w:t>
      </w:r>
    </w:p>
    <w:p w:rsidR="008863F6" w:rsidRDefault="008863F6" w:rsidP="008863F6">
      <w:pPr>
        <w:numPr>
          <w:ilvl w:val="0"/>
          <w:numId w:val="4"/>
        </w:numPr>
        <w:rPr>
          <w:rFonts w:eastAsia="Cambria" w:cstheme="minorHAnsi"/>
        </w:rPr>
      </w:pPr>
      <w:r>
        <w:rPr>
          <w:rFonts w:eastAsia="Cambria" w:cstheme="minorHAnsi"/>
        </w:rPr>
        <w:t>The student will receive individual counseling from the school social worker to develop improved self-advocacy skills.</w:t>
      </w:r>
    </w:p>
    <w:p w:rsidR="008863F6" w:rsidRDefault="008863F6" w:rsidP="008863F6">
      <w:pPr>
        <w:numPr>
          <w:ilvl w:val="1"/>
          <w:numId w:val="4"/>
        </w:numPr>
        <w:rPr>
          <w:rFonts w:eastAsia="Cambria" w:cstheme="minorHAnsi"/>
        </w:rPr>
      </w:pPr>
      <w:r>
        <w:rPr>
          <w:rFonts w:eastAsia="Cambria" w:cstheme="minorHAnsi"/>
        </w:rPr>
        <w:t>Frequency: one session each week for the second quarter of school</w:t>
      </w:r>
    </w:p>
    <w:p w:rsidR="008863F6" w:rsidRDefault="008863F6" w:rsidP="008863F6">
      <w:pPr>
        <w:numPr>
          <w:ilvl w:val="1"/>
          <w:numId w:val="4"/>
        </w:numPr>
        <w:rPr>
          <w:rFonts w:eastAsia="Cambria" w:cstheme="minorHAnsi"/>
        </w:rPr>
      </w:pPr>
      <w:r>
        <w:rPr>
          <w:rFonts w:eastAsia="Cambria" w:cstheme="minorHAnsi"/>
        </w:rPr>
        <w:t>Location: school counselor’s office</w:t>
      </w:r>
    </w:p>
    <w:p w:rsidR="008863F6" w:rsidRDefault="008863F6" w:rsidP="008863F6">
      <w:pPr>
        <w:numPr>
          <w:ilvl w:val="1"/>
          <w:numId w:val="4"/>
        </w:numPr>
        <w:rPr>
          <w:rFonts w:eastAsia="Cambria" w:cstheme="minorHAnsi"/>
        </w:rPr>
      </w:pPr>
      <w:r>
        <w:rPr>
          <w:rFonts w:eastAsia="Cambria" w:cstheme="minorHAnsi"/>
        </w:rPr>
        <w:t>Duration: one class period each session</w:t>
      </w:r>
    </w:p>
    <w:p w:rsidR="008863F6" w:rsidRDefault="008863F6" w:rsidP="008863F6">
      <w:pPr>
        <w:rPr>
          <w:rFonts w:cstheme="minorHAnsi"/>
        </w:rPr>
      </w:pPr>
    </w:p>
    <w:p w:rsidR="008863F6" w:rsidRDefault="008863F6" w:rsidP="008863F6">
      <w:pPr>
        <w:pStyle w:val="Heading2"/>
      </w:pPr>
      <w:r>
        <w:t>What is the difference between a secondary transition service and secondary transition activity?</w:t>
      </w:r>
    </w:p>
    <w:p w:rsidR="008863F6" w:rsidRDefault="008863F6" w:rsidP="008863F6">
      <w:pPr>
        <w:rPr>
          <w:rFonts w:cstheme="minorHAnsi"/>
        </w:rPr>
      </w:pPr>
      <w:r>
        <w:rPr>
          <w:rFonts w:cstheme="minorHAnsi"/>
        </w:rPr>
        <w:t xml:space="preserve">Secondary transition services include any activities, strategies, or services needed to support the student in achieving his/her measurable postsecondary goals.  That means secondary transition activities may be included in the Transition Services specified in the IEP.  Secondary transition services might include any of the five types of IEP services (i.e., special education instructional services, related services, supplementary aids and supports (which include accommodations), modifications, and supports for school personnel), while secondary transition activities are other supports or experiences provided to meet a student’s transition needs.  </w:t>
      </w:r>
    </w:p>
    <w:p w:rsidR="008863F6" w:rsidRDefault="008863F6" w:rsidP="008863F6">
      <w:pPr>
        <w:rPr>
          <w:rFonts w:cstheme="minorHAnsi"/>
        </w:rPr>
      </w:pPr>
    </w:p>
    <w:p w:rsidR="008863F6" w:rsidRDefault="008863F6" w:rsidP="008863F6">
      <w:pPr>
        <w:pStyle w:val="Heading2"/>
      </w:pPr>
      <w:r>
        <w:t>What is a secondary transition activity?  What is a secondary transition strategy?</w:t>
      </w:r>
    </w:p>
    <w:p w:rsidR="008863F6" w:rsidRDefault="008863F6" w:rsidP="008863F6">
      <w:pPr>
        <w:rPr>
          <w:rFonts w:cstheme="minorHAnsi"/>
        </w:rPr>
      </w:pPr>
      <w:r>
        <w:rPr>
          <w:rFonts w:cstheme="minorHAnsi"/>
        </w:rPr>
        <w:t>The regulations implementing the IDEA do not distinguish between a secondary transition activity and secondary transition strategy, and there is no need to differentiate between secondary transition activities and strategies on the IEP.  Generally speaking, a secondary transition activity is usually instruction, including repeated practice, within a special education setting designed to meet a secondary transition need.  It might also be a description of a work experience or a community experience.  A secondary transition strategy is typically a technique used by a school staff person to encourage the rehearsal or generalization of a student skill related to a postsecondary goal.</w:t>
      </w:r>
    </w:p>
    <w:p w:rsidR="008863F6" w:rsidRDefault="008863F6" w:rsidP="008863F6">
      <w:pPr>
        <w:rPr>
          <w:rFonts w:cstheme="minorHAnsi"/>
        </w:rPr>
      </w:pPr>
    </w:p>
    <w:p w:rsidR="008863F6" w:rsidRDefault="008863F6" w:rsidP="008863F6">
      <w:pPr>
        <w:ind w:left="360"/>
        <w:rPr>
          <w:rFonts w:cstheme="minorHAnsi"/>
          <w:i/>
        </w:rPr>
      </w:pPr>
      <w:r>
        <w:rPr>
          <w:rFonts w:cstheme="minorHAnsi"/>
          <w:i/>
        </w:rPr>
        <w:t>Examples of secondary transition activities:</w:t>
      </w:r>
    </w:p>
    <w:p w:rsidR="008863F6" w:rsidRDefault="008863F6" w:rsidP="008863F6">
      <w:pPr>
        <w:pStyle w:val="ListParagraph"/>
        <w:numPr>
          <w:ilvl w:val="0"/>
          <w:numId w:val="5"/>
        </w:numPr>
        <w:rPr>
          <w:rFonts w:cstheme="minorHAnsi"/>
        </w:rPr>
      </w:pPr>
      <w:r>
        <w:rPr>
          <w:rFonts w:cstheme="minorHAnsi"/>
        </w:rPr>
        <w:t>John will work one period twice a week in the school’s front office.</w:t>
      </w:r>
    </w:p>
    <w:p w:rsidR="008863F6" w:rsidRDefault="008863F6" w:rsidP="008863F6">
      <w:pPr>
        <w:pStyle w:val="ListParagraph"/>
        <w:numPr>
          <w:ilvl w:val="0"/>
          <w:numId w:val="5"/>
        </w:numPr>
        <w:rPr>
          <w:rFonts w:cstheme="minorHAnsi"/>
        </w:rPr>
      </w:pPr>
      <w:r>
        <w:rPr>
          <w:rFonts w:cstheme="minorHAnsi"/>
        </w:rPr>
        <w:t>John’s special education math class will include instruction in personal banking skills.</w:t>
      </w:r>
    </w:p>
    <w:p w:rsidR="008863F6" w:rsidRDefault="008863F6" w:rsidP="008863F6">
      <w:pPr>
        <w:pStyle w:val="ListParagraph"/>
        <w:numPr>
          <w:ilvl w:val="0"/>
          <w:numId w:val="5"/>
        </w:numPr>
        <w:rPr>
          <w:rFonts w:cstheme="minorHAnsi"/>
        </w:rPr>
      </w:pPr>
      <w:r>
        <w:rPr>
          <w:rFonts w:cstheme="minorHAnsi"/>
        </w:rPr>
        <w:t>John will practice interview skills with his classroom teacher and then will participate in an interview with the district’s personnel office.</w:t>
      </w:r>
    </w:p>
    <w:p w:rsidR="008863F6" w:rsidRDefault="008863F6" w:rsidP="008863F6">
      <w:pPr>
        <w:pStyle w:val="ListParagraph"/>
        <w:numPr>
          <w:ilvl w:val="0"/>
          <w:numId w:val="5"/>
        </w:numPr>
        <w:rPr>
          <w:rFonts w:cstheme="minorHAnsi"/>
        </w:rPr>
      </w:pPr>
      <w:r>
        <w:rPr>
          <w:rFonts w:cstheme="minorHAnsi"/>
        </w:rPr>
        <w:t>John will register to vote, with assistance from the district transition coordinator.</w:t>
      </w:r>
    </w:p>
    <w:p w:rsidR="008863F6" w:rsidRDefault="008863F6" w:rsidP="008863F6">
      <w:pPr>
        <w:rPr>
          <w:rFonts w:cstheme="minorHAnsi"/>
          <w:i/>
        </w:rPr>
      </w:pPr>
    </w:p>
    <w:p w:rsidR="008863F6" w:rsidRDefault="008863F6" w:rsidP="008863F6">
      <w:pPr>
        <w:ind w:left="360"/>
        <w:rPr>
          <w:rFonts w:cstheme="minorHAnsi"/>
          <w:i/>
        </w:rPr>
      </w:pPr>
      <w:r>
        <w:rPr>
          <w:rFonts w:cstheme="minorHAnsi"/>
          <w:i/>
        </w:rPr>
        <w:t>Examples of secondary transition strategies:</w:t>
      </w:r>
    </w:p>
    <w:p w:rsidR="008863F6" w:rsidRDefault="008863F6" w:rsidP="008863F6">
      <w:pPr>
        <w:pStyle w:val="ListParagraph"/>
        <w:numPr>
          <w:ilvl w:val="0"/>
          <w:numId w:val="6"/>
        </w:numPr>
        <w:rPr>
          <w:rFonts w:cstheme="minorHAnsi"/>
        </w:rPr>
      </w:pPr>
      <w:r>
        <w:rPr>
          <w:rFonts w:cstheme="minorHAnsi"/>
        </w:rPr>
        <w:t>John will be provided with verbal cues by his teacher to help him recognize he should use previously learned self-advocacy skills.</w:t>
      </w:r>
    </w:p>
    <w:p w:rsidR="008863F6" w:rsidRDefault="008863F6" w:rsidP="008863F6">
      <w:pPr>
        <w:pStyle w:val="ListParagraph"/>
        <w:numPr>
          <w:ilvl w:val="0"/>
          <w:numId w:val="6"/>
        </w:numPr>
        <w:rPr>
          <w:rFonts w:cstheme="minorHAnsi"/>
        </w:rPr>
      </w:pPr>
      <w:r>
        <w:rPr>
          <w:rFonts w:cstheme="minorHAnsi"/>
        </w:rPr>
        <w:t>John will receive a non-verbal cue from his teacher to remind him to practice his anger management skills.</w:t>
      </w:r>
    </w:p>
    <w:p w:rsidR="008863F6" w:rsidRDefault="008863F6" w:rsidP="008863F6">
      <w:pPr>
        <w:pStyle w:val="ListParagraph"/>
        <w:numPr>
          <w:ilvl w:val="0"/>
          <w:numId w:val="6"/>
        </w:numPr>
        <w:rPr>
          <w:rFonts w:cstheme="minorHAnsi"/>
        </w:rPr>
      </w:pPr>
      <w:r>
        <w:rPr>
          <w:rFonts w:cstheme="minorHAnsi"/>
        </w:rPr>
        <w:t>John will use guided notes to study for tests.</w:t>
      </w:r>
    </w:p>
    <w:p w:rsidR="008863F6" w:rsidRDefault="008863F6" w:rsidP="008863F6">
      <w:pPr>
        <w:rPr>
          <w:rFonts w:cstheme="minorHAnsi"/>
        </w:rPr>
      </w:pPr>
    </w:p>
    <w:p w:rsidR="008863F6" w:rsidRDefault="008863F6" w:rsidP="008863F6">
      <w:pPr>
        <w:pStyle w:val="Heading2"/>
      </w:pPr>
      <w:r>
        <w:t>Should an IEP list secondary transition activities the parent or student will carry out?</w:t>
      </w:r>
    </w:p>
    <w:p w:rsidR="008863F6" w:rsidRDefault="008863F6" w:rsidP="008863F6">
      <w:pPr>
        <w:rPr>
          <w:rFonts w:cstheme="minorHAnsi"/>
        </w:rPr>
      </w:pPr>
      <w:r>
        <w:rPr>
          <w:rFonts w:cstheme="minorHAnsi"/>
        </w:rPr>
        <w:t>Remember that the IEP is the district’s offer of a free appropriate public education (FAPE).  As a result, secondary transition activities, strategies, and services should only describe supports provided by the district, or linkages from outside agencies.  Don’t list activities that the parent or student will carry out as a secondary transition service.  For example, don’t list “John will obtain his driver’s license” as a secondary transition service if this is something John and his parents will do without any district support.  The IEP Team might describe this within the Present Levels of Academic Achievement and Functional Performance (PLAAFPs), to show that the IEP Team considered this need and how the need would be met.</w:t>
      </w:r>
    </w:p>
    <w:p w:rsidR="008863F6" w:rsidRDefault="008863F6" w:rsidP="008863F6">
      <w:pPr>
        <w:rPr>
          <w:rFonts w:cstheme="minorHAnsi"/>
        </w:rPr>
      </w:pPr>
    </w:p>
    <w:p w:rsidR="008863F6" w:rsidRDefault="008863F6" w:rsidP="008863F6">
      <w:pPr>
        <w:pStyle w:val="Heading2"/>
      </w:pPr>
      <w:r>
        <w:t>How does the IEP Team determine when an outside agency should be invited to the IEP Team meeting?</w:t>
      </w:r>
    </w:p>
    <w:p w:rsidR="008863F6" w:rsidRDefault="008863F6" w:rsidP="008863F6">
      <w:pPr>
        <w:rPr>
          <w:rFonts w:cstheme="minorHAnsi"/>
        </w:rPr>
      </w:pPr>
      <w:r>
        <w:rPr>
          <w:rFonts w:cstheme="minorHAnsi"/>
        </w:rPr>
        <w:t>Beginning at age 16, the IEP must include, when appropriate, a statement of the interagency responsibilities or any needed linkages.  An outside agency must be invited (with parent permission) to the IEP Team meeting when they are likely to be responsible for providing or paying for secondary transition services.  It might be appropriate to invite more than one outside agency.  An outside agency would not be invited if one of the following is true:</w:t>
      </w:r>
    </w:p>
    <w:p w:rsidR="008863F6" w:rsidRDefault="008863F6" w:rsidP="008863F6">
      <w:pPr>
        <w:pStyle w:val="ListParagraph"/>
        <w:numPr>
          <w:ilvl w:val="0"/>
          <w:numId w:val="7"/>
        </w:numPr>
        <w:rPr>
          <w:rFonts w:cstheme="minorHAnsi"/>
        </w:rPr>
      </w:pPr>
      <w:r>
        <w:rPr>
          <w:rFonts w:cstheme="minorHAnsi"/>
        </w:rPr>
        <w:t>secondary transition services provided by general education are sufficient to meet the student’s needs, or</w:t>
      </w:r>
    </w:p>
    <w:p w:rsidR="008863F6" w:rsidRDefault="008863F6" w:rsidP="008863F6">
      <w:pPr>
        <w:pStyle w:val="ListParagraph"/>
        <w:numPr>
          <w:ilvl w:val="0"/>
          <w:numId w:val="7"/>
        </w:numPr>
        <w:rPr>
          <w:rFonts w:cstheme="minorHAnsi"/>
        </w:rPr>
      </w:pPr>
      <w:r>
        <w:rPr>
          <w:rFonts w:cstheme="minorHAnsi"/>
        </w:rPr>
        <w:t xml:space="preserve">all needed secondary transition services are to be provided by the district. </w:t>
      </w:r>
    </w:p>
    <w:p w:rsidR="008863F6" w:rsidRDefault="008863F6" w:rsidP="008863F6">
      <w:pPr>
        <w:pStyle w:val="Heading2"/>
      </w:pPr>
    </w:p>
    <w:p w:rsidR="008863F6" w:rsidRDefault="008863F6" w:rsidP="008863F6">
      <w:pPr>
        <w:pStyle w:val="Heading2"/>
      </w:pPr>
      <w:r>
        <w:t>How does the IEP Team determine which outside agency should be invited to the IEP meeting?</w:t>
      </w:r>
    </w:p>
    <w:p w:rsidR="008863F6" w:rsidRDefault="008863F6" w:rsidP="008863F6">
      <w:pPr>
        <w:rPr>
          <w:rFonts w:cstheme="minorHAnsi"/>
          <w:u w:val="single"/>
        </w:rPr>
      </w:pPr>
      <w:r>
        <w:rPr>
          <w:rFonts w:cstheme="minorHAnsi"/>
        </w:rPr>
        <w:t>The Indicator 13 Checklist indicates that representatives of agencies providing the following types of services might be considered for an invitation to the IEP meeting:</w:t>
      </w:r>
    </w:p>
    <w:p w:rsidR="008863F6" w:rsidRDefault="008863F6" w:rsidP="008863F6">
      <w:pPr>
        <w:ind w:left="1620" w:hanging="900"/>
        <w:rPr>
          <w:rFonts w:cstheme="minorHAnsi"/>
        </w:rPr>
      </w:pPr>
      <w:r>
        <w:rPr>
          <w:rFonts w:cstheme="minorHAnsi"/>
        </w:rPr>
        <w:t xml:space="preserve">a) Postsecondary education </w:t>
      </w:r>
    </w:p>
    <w:p w:rsidR="008863F6" w:rsidRDefault="008863F6" w:rsidP="008863F6">
      <w:pPr>
        <w:ind w:left="1620" w:hanging="900"/>
        <w:rPr>
          <w:rFonts w:cstheme="minorHAnsi"/>
        </w:rPr>
      </w:pPr>
      <w:r>
        <w:rPr>
          <w:rFonts w:cstheme="minorHAnsi"/>
        </w:rPr>
        <w:t xml:space="preserve">b) Vocational education </w:t>
      </w:r>
    </w:p>
    <w:p w:rsidR="008863F6" w:rsidRDefault="008863F6" w:rsidP="008863F6">
      <w:pPr>
        <w:ind w:left="1620" w:hanging="900"/>
        <w:rPr>
          <w:rFonts w:cstheme="minorHAnsi"/>
        </w:rPr>
      </w:pPr>
      <w:r>
        <w:rPr>
          <w:rFonts w:cstheme="minorHAnsi"/>
        </w:rPr>
        <w:t xml:space="preserve">c) Integrated employment (including supported employment) </w:t>
      </w:r>
    </w:p>
    <w:p w:rsidR="008863F6" w:rsidRDefault="008863F6" w:rsidP="008863F6">
      <w:pPr>
        <w:ind w:left="1620" w:hanging="900"/>
        <w:rPr>
          <w:rFonts w:cstheme="minorHAnsi"/>
        </w:rPr>
      </w:pPr>
      <w:r>
        <w:rPr>
          <w:rFonts w:cstheme="minorHAnsi"/>
        </w:rPr>
        <w:t xml:space="preserve">d) Continuing and adult education </w:t>
      </w:r>
    </w:p>
    <w:p w:rsidR="008863F6" w:rsidRDefault="008863F6" w:rsidP="008863F6">
      <w:pPr>
        <w:ind w:left="1620" w:hanging="900"/>
        <w:rPr>
          <w:rFonts w:cstheme="minorHAnsi"/>
        </w:rPr>
      </w:pPr>
      <w:r>
        <w:rPr>
          <w:rFonts w:cstheme="minorHAnsi"/>
        </w:rPr>
        <w:t xml:space="preserve">e) Adult services </w:t>
      </w:r>
    </w:p>
    <w:p w:rsidR="008863F6" w:rsidRDefault="008863F6" w:rsidP="008863F6">
      <w:pPr>
        <w:ind w:left="1620" w:hanging="900"/>
        <w:rPr>
          <w:rFonts w:cstheme="minorHAnsi"/>
        </w:rPr>
      </w:pPr>
      <w:r>
        <w:rPr>
          <w:rFonts w:cstheme="minorHAnsi"/>
        </w:rPr>
        <w:t xml:space="preserve">f) Independent living </w:t>
      </w:r>
    </w:p>
    <w:p w:rsidR="008863F6" w:rsidRDefault="008863F6" w:rsidP="008863F6">
      <w:pPr>
        <w:ind w:left="1620" w:hanging="900"/>
        <w:rPr>
          <w:rFonts w:cstheme="minorHAnsi"/>
        </w:rPr>
      </w:pPr>
      <w:r>
        <w:rPr>
          <w:rFonts w:cstheme="minorHAnsi"/>
        </w:rPr>
        <w:t xml:space="preserve">g) Community participation </w:t>
      </w:r>
    </w:p>
    <w:p w:rsidR="008863F6" w:rsidRDefault="008863F6" w:rsidP="008863F6">
      <w:pPr>
        <w:ind w:left="1620" w:hanging="900"/>
        <w:rPr>
          <w:rFonts w:cstheme="minorHAnsi"/>
        </w:rPr>
      </w:pPr>
    </w:p>
    <w:p w:rsidR="008863F6" w:rsidRDefault="008863F6" w:rsidP="008863F6">
      <w:pPr>
        <w:rPr>
          <w:rFonts w:cstheme="minorHAnsi"/>
        </w:rPr>
      </w:pPr>
      <w:r>
        <w:rPr>
          <w:rFonts w:cstheme="minorHAnsi"/>
        </w:rPr>
        <w:t xml:space="preserve">The IEP Team should consider what types of services an individual student is likely to need throughout the secondary transition process and invite (with parental consent) whomever might provide services to the student.  This might be Vocational Rehabilitation (VR) Services, a representative of a 4-year college, a community college, or a vocational/technical school.  The team should also consider inviting (with parental consent) representatives of mental health service providers, independent living centers, community developmental disabilities organizations, and providers of related services </w:t>
      </w:r>
      <w:r>
        <w:rPr>
          <w:rFonts w:cstheme="minorHAnsi"/>
          <w:i/>
        </w:rPr>
        <w:t>the student may need as an adult.</w:t>
      </w:r>
      <w:r>
        <w:rPr>
          <w:rFonts w:cstheme="minorHAnsi"/>
        </w:rPr>
        <w:t xml:space="preserve">  These agencies may or may not be currently providing services to the student </w:t>
      </w:r>
    </w:p>
    <w:p w:rsidR="008863F6" w:rsidRDefault="008863F6" w:rsidP="008863F6">
      <w:pPr>
        <w:rPr>
          <w:rFonts w:cstheme="minorHAnsi"/>
        </w:rPr>
      </w:pPr>
    </w:p>
    <w:p w:rsidR="008863F6" w:rsidRDefault="008863F6" w:rsidP="008863F6">
      <w:pPr>
        <w:rPr>
          <w:rFonts w:asciiTheme="majorHAnsi" w:eastAsia="Times New Roman" w:hAnsiTheme="majorHAnsi" w:cstheme="majorHAnsi"/>
          <w:color w:val="1F4E79" w:themeColor="accent5" w:themeShade="80"/>
          <w:sz w:val="26"/>
          <w:szCs w:val="26"/>
          <w:u w:val="single"/>
        </w:rPr>
      </w:pPr>
      <w:r>
        <w:rPr>
          <w:rFonts w:asciiTheme="majorHAnsi" w:eastAsia="Times New Roman" w:hAnsiTheme="majorHAnsi" w:cstheme="majorHAnsi"/>
          <w:color w:val="1F4E79" w:themeColor="accent5" w:themeShade="80"/>
          <w:sz w:val="26"/>
          <w:szCs w:val="26"/>
          <w:u w:val="single"/>
        </w:rPr>
        <w:t>Is a formal re-evaluation required to complete a transition assessment and add secondary transition services to the IEP?</w:t>
      </w:r>
    </w:p>
    <w:p w:rsidR="008863F6" w:rsidRDefault="008863F6" w:rsidP="008863F6">
      <w:pPr>
        <w:rPr>
          <w:rFonts w:eastAsia="Times New Roman" w:cstheme="minorHAnsi"/>
          <w:color w:val="000000" w:themeColor="text1"/>
        </w:rPr>
      </w:pPr>
      <w:r>
        <w:rPr>
          <w:rFonts w:eastAsia="Times New Roman" w:cstheme="minorHAnsi"/>
          <w:color w:val="000000" w:themeColor="text1"/>
        </w:rPr>
        <w:t xml:space="preserve">A transition assessment is not a </w:t>
      </w:r>
      <w:r w:rsidR="000C4A39">
        <w:rPr>
          <w:rFonts w:eastAsia="Times New Roman" w:cstheme="minorHAnsi"/>
          <w:color w:val="000000" w:themeColor="text1"/>
        </w:rPr>
        <w:t>re-evaluation but</w:t>
      </w:r>
      <w:r>
        <w:rPr>
          <w:rFonts w:eastAsia="Times New Roman" w:cstheme="minorHAnsi"/>
          <w:color w:val="000000" w:themeColor="text1"/>
        </w:rPr>
        <w:t xml:space="preserve"> may lead to the need for a re-evaluation.  The Office of Special Education Programs (OSEP) has issued informal guidance stating that, “The purpose of the [transition] assessment is to develop appropriate postsecondary IEP goals and not to determine whether a child has or continues to have a disability, and the nature and extent of the special education and related services that the child needs. If, however, the IEP Team determines that a reevaluation of the child is warranted in order to obtain additional data, based on the student’s educational or related services needs including improved academic achievement and functional performance, the public agency is required to obtain parental consent consistent with 34 C.F.R. 300.300(c)” (Letter to Olex, 119 LRP 8445, Feb. 22, 2019). </w:t>
      </w:r>
    </w:p>
    <w:p w:rsidR="008863F6" w:rsidRDefault="008863F6" w:rsidP="008863F6">
      <w:pPr>
        <w:rPr>
          <w:rFonts w:eastAsia="Times New Roman" w:cstheme="minorHAnsi"/>
          <w:color w:val="000000" w:themeColor="text1"/>
        </w:rPr>
      </w:pPr>
      <w:r>
        <w:rPr>
          <w:rFonts w:ascii="Times New Roman" w:eastAsia="Times New Roman" w:hAnsi="Times New Roman" w:cs="Times New Roman"/>
          <w:color w:val="1F497D"/>
        </w:rPr>
        <w:t> </w:t>
      </w:r>
    </w:p>
    <w:p w:rsidR="008863F6" w:rsidRDefault="008863F6" w:rsidP="008863F6">
      <w:pPr>
        <w:rPr>
          <w:rFonts w:asciiTheme="majorHAnsi" w:eastAsia="Times New Roman" w:hAnsiTheme="majorHAnsi" w:cstheme="majorHAnsi"/>
          <w:color w:val="1F4E79" w:themeColor="accent5" w:themeShade="80"/>
          <w:sz w:val="26"/>
          <w:szCs w:val="26"/>
          <w:u w:val="single"/>
        </w:rPr>
      </w:pPr>
      <w:r>
        <w:rPr>
          <w:rFonts w:asciiTheme="majorHAnsi" w:eastAsia="Times New Roman" w:hAnsiTheme="majorHAnsi" w:cstheme="majorHAnsi"/>
          <w:color w:val="1F4E79" w:themeColor="accent5" w:themeShade="80"/>
          <w:sz w:val="26"/>
          <w:szCs w:val="26"/>
          <w:u w:val="single"/>
        </w:rPr>
        <w:t xml:space="preserve">Does the district need consent to evaluate every year since transition information must be updated every year?  Is an informal interview that is used to write Measurable Postsecondary Goals a re-evaluation that would require a Prior Written Notice and consent to evaluate?   </w:t>
      </w:r>
    </w:p>
    <w:p w:rsidR="008863F6" w:rsidRDefault="008863F6" w:rsidP="008863F6">
      <w:pPr>
        <w:rPr>
          <w:rFonts w:eastAsia="Times New Roman" w:cstheme="minorHAnsi"/>
          <w:color w:val="000000" w:themeColor="text1"/>
        </w:rPr>
      </w:pPr>
      <w:r>
        <w:rPr>
          <w:rFonts w:eastAsia="Times New Roman" w:cstheme="minorHAnsi"/>
          <w:color w:val="000000" w:themeColor="text1"/>
        </w:rPr>
        <w:t xml:space="preserve">OSEP has said that “parental consent is not required prior to conducting an age appropriate transition assessment” (Letter to Olex, 119 LRP 8445, Feb. 22, 2019). OSEP reasoned that the purpose of a transition assessment is to develop appropriate postsecondary IEP goals, not to determine eligibility or service needs. However, OSEP went on to provide that if the IEP Team determines that a reevaluation is needed to obtain additional data based on educational or services needs, parental consent and prior written notice would be required. </w:t>
      </w:r>
    </w:p>
    <w:p w:rsidR="008863F6" w:rsidRDefault="008863F6" w:rsidP="008863F6">
      <w:pPr>
        <w:rPr>
          <w:rFonts w:eastAsia="Times New Roman" w:cstheme="minorHAnsi"/>
          <w:color w:val="1F4E79" w:themeColor="accent5" w:themeShade="80"/>
          <w:sz w:val="26"/>
          <w:szCs w:val="26"/>
          <w:u w:val="single"/>
        </w:rPr>
      </w:pPr>
    </w:p>
    <w:p w:rsidR="008863F6" w:rsidRDefault="008863F6" w:rsidP="008863F6">
      <w:pPr>
        <w:rPr>
          <w:rFonts w:asciiTheme="majorHAnsi" w:eastAsia="Times New Roman" w:hAnsiTheme="majorHAnsi" w:cstheme="majorHAnsi"/>
          <w:color w:val="1F4E79" w:themeColor="accent5" w:themeShade="80"/>
          <w:sz w:val="26"/>
          <w:szCs w:val="26"/>
          <w:u w:val="single"/>
        </w:rPr>
      </w:pPr>
      <w:r>
        <w:rPr>
          <w:rFonts w:asciiTheme="majorHAnsi" w:eastAsia="Times New Roman" w:hAnsiTheme="majorHAnsi" w:cstheme="majorHAnsi"/>
          <w:color w:val="1F4E79" w:themeColor="accent5" w:themeShade="80"/>
          <w:sz w:val="26"/>
          <w:szCs w:val="26"/>
          <w:u w:val="single"/>
        </w:rPr>
        <w:t>Is parent consent required for students with an IEP who will take the general education career assessments that all students take?</w:t>
      </w:r>
    </w:p>
    <w:p w:rsidR="008863F6" w:rsidRDefault="008863F6" w:rsidP="008863F6">
      <w:pPr>
        <w:rPr>
          <w:rFonts w:eastAsia="Times New Roman" w:cstheme="minorHAnsi"/>
          <w:color w:val="000000" w:themeColor="text1"/>
        </w:rPr>
      </w:pPr>
      <w:r>
        <w:rPr>
          <w:rFonts w:eastAsia="Times New Roman" w:cstheme="minorHAnsi"/>
          <w:color w:val="000000" w:themeColor="text1"/>
        </w:rPr>
        <w:t>No, parental consent is not required for assessments that all students take.  The information from these assessments can be used to inform the measurable postsecondary goals and other IEP secondary transition requirements.</w:t>
      </w:r>
    </w:p>
    <w:p w:rsidR="008863F6" w:rsidRDefault="008863F6" w:rsidP="008863F6">
      <w:pPr>
        <w:rPr>
          <w:rFonts w:eastAsia="Times New Roman" w:cstheme="minorHAnsi"/>
          <w:color w:val="000000" w:themeColor="text1"/>
        </w:rPr>
      </w:pPr>
    </w:p>
    <w:p w:rsidR="000C4A39" w:rsidRDefault="000C4A39" w:rsidP="008863F6">
      <w:pPr>
        <w:rPr>
          <w:rFonts w:asciiTheme="majorHAnsi" w:eastAsia="Times New Roman" w:hAnsiTheme="majorHAnsi" w:cstheme="majorHAnsi"/>
          <w:color w:val="1F4E79" w:themeColor="accent5" w:themeShade="80"/>
          <w:sz w:val="26"/>
          <w:szCs w:val="26"/>
          <w:u w:val="single"/>
        </w:rPr>
      </w:pPr>
    </w:p>
    <w:p w:rsidR="008863F6" w:rsidRDefault="008863F6" w:rsidP="008863F6">
      <w:pPr>
        <w:rPr>
          <w:rFonts w:asciiTheme="majorHAnsi" w:eastAsia="Times New Roman" w:hAnsiTheme="majorHAnsi" w:cstheme="majorHAnsi"/>
          <w:color w:val="1F4E79" w:themeColor="accent5" w:themeShade="80"/>
          <w:sz w:val="26"/>
          <w:szCs w:val="26"/>
          <w:u w:val="single"/>
        </w:rPr>
      </w:pPr>
      <w:r>
        <w:rPr>
          <w:rFonts w:asciiTheme="majorHAnsi" w:eastAsia="Times New Roman" w:hAnsiTheme="majorHAnsi" w:cstheme="majorHAnsi"/>
          <w:color w:val="1F4E79" w:themeColor="accent5" w:themeShade="80"/>
          <w:sz w:val="26"/>
          <w:szCs w:val="26"/>
          <w:u w:val="single"/>
        </w:rPr>
        <w:t>Must an IEP Team list general education secondary transition services provided to all students under secondary transition services on the IEP?</w:t>
      </w:r>
    </w:p>
    <w:p w:rsidR="008863F6" w:rsidRDefault="008863F6" w:rsidP="008863F6">
      <w:pPr>
        <w:rPr>
          <w:rFonts w:eastAsia="Times New Roman" w:cstheme="minorHAnsi"/>
          <w:color w:val="000000" w:themeColor="text1"/>
        </w:rPr>
      </w:pPr>
      <w:r>
        <w:rPr>
          <w:rFonts w:eastAsia="Times New Roman" w:cstheme="minorHAnsi"/>
          <w:color w:val="000000" w:themeColor="text1"/>
        </w:rPr>
        <w:t xml:space="preserve">No, secondary transition services provided to all students in which the student participates could be described within the PLAAFPs, but they would not be listed under secondary transition services on the IEP.  </w:t>
      </w:r>
    </w:p>
    <w:p w:rsidR="008863F6" w:rsidRDefault="008863F6" w:rsidP="008863F6">
      <w:pPr>
        <w:rPr>
          <w:rFonts w:eastAsia="Times New Roman" w:cstheme="minorHAnsi"/>
          <w:color w:val="000000" w:themeColor="text1"/>
        </w:rPr>
      </w:pPr>
    </w:p>
    <w:p w:rsidR="008863F6" w:rsidRDefault="008863F6" w:rsidP="008863F6">
      <w:pPr>
        <w:rPr>
          <w:rFonts w:eastAsia="Times New Roman" w:cstheme="minorHAnsi"/>
          <w:color w:val="FF0000"/>
        </w:rPr>
      </w:pPr>
      <w:r>
        <w:rPr>
          <w:rFonts w:asciiTheme="majorHAnsi" w:eastAsia="Times New Roman" w:hAnsiTheme="majorHAnsi" w:cstheme="majorHAnsi"/>
          <w:color w:val="1F4E79" w:themeColor="accent5" w:themeShade="80"/>
          <w:sz w:val="26"/>
          <w:szCs w:val="26"/>
          <w:u w:val="single"/>
        </w:rPr>
        <w:t>Does the IEP Team list Pre-Employment Transition Services (Pre-ETS) as a secondary transition service provided by an outside agency on the IEP?</w:t>
      </w:r>
    </w:p>
    <w:p w:rsidR="008863F6" w:rsidRDefault="008863F6" w:rsidP="008863F6">
      <w:pPr>
        <w:rPr>
          <w:rFonts w:eastAsia="Times New Roman" w:cstheme="minorHAnsi"/>
          <w:color w:val="000000" w:themeColor="text1"/>
        </w:rPr>
      </w:pPr>
      <w:r>
        <w:rPr>
          <w:rFonts w:eastAsia="Times New Roman" w:cstheme="minorHAnsi"/>
          <w:color w:val="000000" w:themeColor="text1"/>
        </w:rPr>
        <w:t>There is no "yes" or "no" answer to this question.  Like all services in an IEP, secondary transition services are based on the individual needs of a student.  Therefore, secondary transition services provided by outside agencies are put into an IEP only when the IEP Team determines that a student needs those services in order to reach the student's postsecondary goals.  If an agency fails to provide the transition services planned in the IEP, the IEP team must meet again to identify alternative strategies to meet the transition needs and postsecondary goals set out in the IEP.  Districts are ultimately responsible for ensuring that a student’s transition needs are met.</w:t>
      </w:r>
    </w:p>
    <w:p w:rsidR="008863F6" w:rsidRDefault="008863F6" w:rsidP="008863F6">
      <w:pPr>
        <w:rPr>
          <w:rFonts w:cstheme="minorHAnsi"/>
          <w:bCs/>
          <w:color w:val="00B050"/>
        </w:rPr>
      </w:pPr>
    </w:p>
    <w:p w:rsidR="008863F6" w:rsidRDefault="008863F6" w:rsidP="008863F6">
      <w:pPr>
        <w:rPr>
          <w:rFonts w:cstheme="minorHAnsi"/>
          <w:bCs/>
        </w:rPr>
      </w:pPr>
      <w:r>
        <w:rPr>
          <w:rFonts w:asciiTheme="majorHAnsi" w:eastAsia="Times New Roman" w:hAnsiTheme="majorHAnsi" w:cstheme="majorHAnsi"/>
          <w:color w:val="1F4E79" w:themeColor="accent5" w:themeShade="80"/>
          <w:sz w:val="26"/>
          <w:szCs w:val="26"/>
          <w:u w:val="single"/>
        </w:rPr>
        <w:t>If the student is a freshman and the IEP Team has electives documented in the Courses of Study section for 11</w:t>
      </w:r>
      <w:r>
        <w:rPr>
          <w:rFonts w:asciiTheme="majorHAnsi" w:eastAsia="Times New Roman" w:hAnsiTheme="majorHAnsi" w:cstheme="majorHAnsi"/>
          <w:color w:val="1F4E79" w:themeColor="accent5" w:themeShade="80"/>
          <w:sz w:val="26"/>
          <w:szCs w:val="26"/>
          <w:u w:val="single"/>
          <w:vertAlign w:val="superscript"/>
        </w:rPr>
        <w:t>th</w:t>
      </w:r>
      <w:r>
        <w:rPr>
          <w:rFonts w:asciiTheme="majorHAnsi" w:eastAsia="Times New Roman" w:hAnsiTheme="majorHAnsi" w:cstheme="majorHAnsi"/>
          <w:color w:val="1F4E79" w:themeColor="accent5" w:themeShade="80"/>
          <w:sz w:val="26"/>
          <w:szCs w:val="26"/>
          <w:u w:val="single"/>
        </w:rPr>
        <w:t xml:space="preserve"> and 12</w:t>
      </w:r>
      <w:r>
        <w:rPr>
          <w:rFonts w:asciiTheme="majorHAnsi" w:eastAsia="Times New Roman" w:hAnsiTheme="majorHAnsi" w:cstheme="majorHAnsi"/>
          <w:color w:val="1F4E79" w:themeColor="accent5" w:themeShade="80"/>
          <w:sz w:val="26"/>
          <w:szCs w:val="26"/>
          <w:u w:val="single"/>
          <w:vertAlign w:val="superscript"/>
        </w:rPr>
        <w:t>th</w:t>
      </w:r>
      <w:r>
        <w:rPr>
          <w:rFonts w:asciiTheme="majorHAnsi" w:eastAsia="Times New Roman" w:hAnsiTheme="majorHAnsi" w:cstheme="majorHAnsi"/>
          <w:color w:val="1F4E79" w:themeColor="accent5" w:themeShade="80"/>
          <w:sz w:val="26"/>
          <w:szCs w:val="26"/>
          <w:u w:val="single"/>
        </w:rPr>
        <w:t xml:space="preserve"> grade years, can the IEP Team just state “elective” or must the IEP Team have a specific elective listed?</w:t>
      </w:r>
    </w:p>
    <w:p w:rsidR="008863F6" w:rsidRDefault="008863F6" w:rsidP="008863F6">
      <w:pPr>
        <w:rPr>
          <w:rFonts w:cstheme="minorHAnsi"/>
          <w:bCs/>
        </w:rPr>
      </w:pPr>
      <w:r>
        <w:rPr>
          <w:rFonts w:cstheme="minorHAnsi"/>
          <w:bCs/>
        </w:rPr>
        <w:t xml:space="preserve">The Courses of Study may be identified on the student’s IEP as a list of courses to be taken each year </w:t>
      </w:r>
      <w:r>
        <w:rPr>
          <w:rFonts w:cstheme="minorHAnsi"/>
          <w:bCs/>
          <w:u w:val="single"/>
        </w:rPr>
        <w:t>or</w:t>
      </w:r>
      <w:r>
        <w:rPr>
          <w:rFonts w:cstheme="minorHAnsi"/>
          <w:bCs/>
        </w:rPr>
        <w:t xml:space="preserve"> a statement of instructional program, as appropriate for the student.  This would include required courses for graduation (or completion of program) and specific elective courses that focus on improving the student’s academic and functional achievement and to assist the student in reaching his/her postsecondary goals.  If the IEP provides a list of courses to be taken each year, then the electives to be taken in 11</w:t>
      </w:r>
      <w:r>
        <w:rPr>
          <w:rFonts w:cstheme="minorHAnsi"/>
          <w:bCs/>
          <w:vertAlign w:val="superscript"/>
        </w:rPr>
        <w:t>th</w:t>
      </w:r>
      <w:r>
        <w:rPr>
          <w:rFonts w:cstheme="minorHAnsi"/>
          <w:bCs/>
        </w:rPr>
        <w:t xml:space="preserve"> and 12</w:t>
      </w:r>
      <w:r>
        <w:rPr>
          <w:rFonts w:cstheme="minorHAnsi"/>
          <w:bCs/>
          <w:vertAlign w:val="superscript"/>
        </w:rPr>
        <w:t>th</w:t>
      </w:r>
      <w:r>
        <w:rPr>
          <w:rFonts w:cstheme="minorHAnsi"/>
          <w:bCs/>
        </w:rPr>
        <w:t xml:space="preserve"> grades must be specific courses.  If the IEP is providing a statement of an instructional program, then the types of elective courses must be </w:t>
      </w:r>
      <w:r w:rsidR="000C4A39">
        <w:rPr>
          <w:rFonts w:cstheme="minorHAnsi"/>
          <w:bCs/>
        </w:rPr>
        <w:t>described,</w:t>
      </w:r>
      <w:r>
        <w:rPr>
          <w:rFonts w:cstheme="minorHAnsi"/>
          <w:bCs/>
        </w:rPr>
        <w:t xml:space="preserve"> and possible examples provided.  It is not appropriate to just state “elective” on either type of Courses of Study.</w:t>
      </w:r>
    </w:p>
    <w:p w:rsidR="008863F6" w:rsidRDefault="008863F6" w:rsidP="008863F6">
      <w:pPr>
        <w:rPr>
          <w:rFonts w:cstheme="minorHAnsi"/>
          <w:bCs/>
        </w:rPr>
      </w:pPr>
    </w:p>
    <w:p w:rsidR="008863F6" w:rsidRDefault="008863F6" w:rsidP="008863F6">
      <w:pPr>
        <w:rPr>
          <w:rFonts w:cstheme="minorHAnsi"/>
          <w:bCs/>
        </w:rPr>
      </w:pPr>
      <w:r>
        <w:rPr>
          <w:rFonts w:asciiTheme="majorHAnsi" w:eastAsia="Times New Roman" w:hAnsiTheme="majorHAnsi" w:cstheme="majorHAnsi"/>
          <w:color w:val="2F5496" w:themeColor="accent1" w:themeShade="BF"/>
          <w:sz w:val="26"/>
          <w:szCs w:val="26"/>
          <w:u w:val="single"/>
        </w:rPr>
        <w:t xml:space="preserve">Does </w:t>
      </w:r>
      <w:r>
        <w:rPr>
          <w:rFonts w:asciiTheme="majorHAnsi" w:eastAsia="Times New Roman" w:hAnsiTheme="majorHAnsi" w:cstheme="majorHAnsi"/>
          <w:color w:val="1F4E79" w:themeColor="accent5" w:themeShade="80"/>
          <w:sz w:val="26"/>
          <w:szCs w:val="26"/>
          <w:u w:val="single"/>
        </w:rPr>
        <w:t xml:space="preserve">the IEP need to be amended if the Courses of Study is changed in the middle of the year? </w:t>
      </w:r>
    </w:p>
    <w:p w:rsidR="008863F6" w:rsidRDefault="008863F6" w:rsidP="008863F6">
      <w:pPr>
        <w:rPr>
          <w:rFonts w:cstheme="minorHAnsi"/>
          <w:bCs/>
          <w:color w:val="000000" w:themeColor="text1"/>
        </w:rPr>
      </w:pPr>
      <w:r>
        <w:rPr>
          <w:rFonts w:cstheme="minorHAnsi"/>
          <w:bCs/>
          <w:color w:val="000000" w:themeColor="text1"/>
        </w:rPr>
        <w:t>If the IEP lists the specific courses to be taken, and the student wishes to make schedule changes that will result in a change to the Courses of Study on the IEP, the IEP must be changed either through an IEP Team meeting or the IEP amendment process.  The precedent for this requirement was set in a formal complaint in Kansas.  If the IEP specifies the types of courses of study, such as "Advanced Placement Courses" or "Vocational Education Courses," then the IEP need be changed only if the change in a specific course is also a change in the type of courses specified in the IEP.</w:t>
      </w:r>
    </w:p>
    <w:p w:rsidR="008863F6" w:rsidRDefault="008863F6" w:rsidP="008863F6">
      <w:pPr>
        <w:rPr>
          <w:rFonts w:cstheme="minorHAnsi"/>
          <w:bCs/>
        </w:rPr>
      </w:pPr>
    </w:p>
    <w:p w:rsidR="008863F6" w:rsidRDefault="008863F6" w:rsidP="008863F6">
      <w:pPr>
        <w:rPr>
          <w:rFonts w:cstheme="minorHAnsi"/>
          <w:bCs/>
        </w:rPr>
      </w:pPr>
      <w:r>
        <w:rPr>
          <w:rFonts w:cstheme="minorHAnsi"/>
          <w:bCs/>
        </w:rPr>
        <w:t xml:space="preserve">  </w:t>
      </w:r>
    </w:p>
    <w:p w:rsidR="008863F6" w:rsidRDefault="008863F6" w:rsidP="008863F6">
      <w:pPr>
        <w:rPr>
          <w:rFonts w:cstheme="minorHAnsi"/>
        </w:rPr>
      </w:pPr>
    </w:p>
    <w:p w:rsidR="00336F23" w:rsidRDefault="00336F23"/>
    <w:sectPr w:rsidR="00336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7AB"/>
    <w:multiLevelType w:val="hybridMultilevel"/>
    <w:tmpl w:val="AF6665E4"/>
    <w:lvl w:ilvl="0" w:tplc="42C01FCC">
      <w:start w:val="1"/>
      <w:numFmt w:val="bullet"/>
      <w:lvlText w:val="•"/>
      <w:lvlJc w:val="left"/>
      <w:pPr>
        <w:tabs>
          <w:tab w:val="num" w:pos="720"/>
        </w:tabs>
        <w:ind w:left="720" w:hanging="360"/>
      </w:pPr>
      <w:rPr>
        <w:rFonts w:ascii="Arial" w:hAnsi="Arial" w:cs="Times New Roman" w:hint="default"/>
      </w:rPr>
    </w:lvl>
    <w:lvl w:ilvl="1" w:tplc="488C74E6">
      <w:numFmt w:val="bullet"/>
      <w:lvlText w:val="•"/>
      <w:lvlJc w:val="left"/>
      <w:pPr>
        <w:tabs>
          <w:tab w:val="num" w:pos="1440"/>
        </w:tabs>
        <w:ind w:left="1440" w:hanging="360"/>
      </w:pPr>
      <w:rPr>
        <w:rFonts w:ascii="Arial" w:hAnsi="Arial" w:cs="Times New Roman" w:hint="default"/>
      </w:rPr>
    </w:lvl>
    <w:lvl w:ilvl="2" w:tplc="1092239E">
      <w:start w:val="1"/>
      <w:numFmt w:val="bullet"/>
      <w:lvlText w:val="•"/>
      <w:lvlJc w:val="left"/>
      <w:pPr>
        <w:tabs>
          <w:tab w:val="num" w:pos="2160"/>
        </w:tabs>
        <w:ind w:left="2160" w:hanging="360"/>
      </w:pPr>
      <w:rPr>
        <w:rFonts w:ascii="Arial" w:hAnsi="Arial" w:cs="Times New Roman" w:hint="default"/>
      </w:rPr>
    </w:lvl>
    <w:lvl w:ilvl="3" w:tplc="A8DA2B4A">
      <w:start w:val="1"/>
      <w:numFmt w:val="bullet"/>
      <w:lvlText w:val="•"/>
      <w:lvlJc w:val="left"/>
      <w:pPr>
        <w:tabs>
          <w:tab w:val="num" w:pos="2880"/>
        </w:tabs>
        <w:ind w:left="2880" w:hanging="360"/>
      </w:pPr>
      <w:rPr>
        <w:rFonts w:ascii="Arial" w:hAnsi="Arial" w:cs="Times New Roman" w:hint="default"/>
      </w:rPr>
    </w:lvl>
    <w:lvl w:ilvl="4" w:tplc="1A020F4C">
      <w:start w:val="1"/>
      <w:numFmt w:val="bullet"/>
      <w:lvlText w:val="•"/>
      <w:lvlJc w:val="left"/>
      <w:pPr>
        <w:tabs>
          <w:tab w:val="num" w:pos="3600"/>
        </w:tabs>
        <w:ind w:left="3600" w:hanging="360"/>
      </w:pPr>
      <w:rPr>
        <w:rFonts w:ascii="Arial" w:hAnsi="Arial" w:cs="Times New Roman" w:hint="default"/>
      </w:rPr>
    </w:lvl>
    <w:lvl w:ilvl="5" w:tplc="5D90E97A">
      <w:start w:val="1"/>
      <w:numFmt w:val="bullet"/>
      <w:lvlText w:val="•"/>
      <w:lvlJc w:val="left"/>
      <w:pPr>
        <w:tabs>
          <w:tab w:val="num" w:pos="4320"/>
        </w:tabs>
        <w:ind w:left="4320" w:hanging="360"/>
      </w:pPr>
      <w:rPr>
        <w:rFonts w:ascii="Arial" w:hAnsi="Arial" w:cs="Times New Roman" w:hint="default"/>
      </w:rPr>
    </w:lvl>
    <w:lvl w:ilvl="6" w:tplc="6E507E9A">
      <w:start w:val="1"/>
      <w:numFmt w:val="bullet"/>
      <w:lvlText w:val="•"/>
      <w:lvlJc w:val="left"/>
      <w:pPr>
        <w:tabs>
          <w:tab w:val="num" w:pos="5040"/>
        </w:tabs>
        <w:ind w:left="5040" w:hanging="360"/>
      </w:pPr>
      <w:rPr>
        <w:rFonts w:ascii="Arial" w:hAnsi="Arial" w:cs="Times New Roman" w:hint="default"/>
      </w:rPr>
    </w:lvl>
    <w:lvl w:ilvl="7" w:tplc="43D0DC38">
      <w:start w:val="1"/>
      <w:numFmt w:val="bullet"/>
      <w:lvlText w:val="•"/>
      <w:lvlJc w:val="left"/>
      <w:pPr>
        <w:tabs>
          <w:tab w:val="num" w:pos="5760"/>
        </w:tabs>
        <w:ind w:left="5760" w:hanging="360"/>
      </w:pPr>
      <w:rPr>
        <w:rFonts w:ascii="Arial" w:hAnsi="Arial" w:cs="Times New Roman" w:hint="default"/>
      </w:rPr>
    </w:lvl>
    <w:lvl w:ilvl="8" w:tplc="F8FA274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6976F2"/>
    <w:multiLevelType w:val="hybridMultilevel"/>
    <w:tmpl w:val="CE10F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293B4E"/>
    <w:multiLevelType w:val="hybridMultilevel"/>
    <w:tmpl w:val="9D5677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171CF7"/>
    <w:multiLevelType w:val="hybridMultilevel"/>
    <w:tmpl w:val="C8A0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16561F"/>
    <w:multiLevelType w:val="hybridMultilevel"/>
    <w:tmpl w:val="563CC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B83D8C"/>
    <w:multiLevelType w:val="hybridMultilevel"/>
    <w:tmpl w:val="B742D850"/>
    <w:lvl w:ilvl="0" w:tplc="04090011">
      <w:start w:val="1"/>
      <w:numFmt w:val="decimal"/>
      <w:lvlText w:val="%1)"/>
      <w:lvlJc w:val="left"/>
      <w:pPr>
        <w:ind w:left="720" w:hanging="360"/>
      </w:pPr>
    </w:lvl>
    <w:lvl w:ilvl="1" w:tplc="3E606548">
      <w:numFmt w:val="bullet"/>
      <w:lvlText w:val="–"/>
      <w:lvlJc w:val="left"/>
      <w:pPr>
        <w:tabs>
          <w:tab w:val="num" w:pos="1440"/>
        </w:tabs>
        <w:ind w:left="1440" w:hanging="360"/>
      </w:pPr>
      <w:rPr>
        <w:rFonts w:ascii="Arial" w:hAnsi="Arial" w:cs="Times New Roman" w:hint="default"/>
      </w:rPr>
    </w:lvl>
    <w:lvl w:ilvl="2" w:tplc="CFB4BE3E">
      <w:start w:val="1"/>
      <w:numFmt w:val="bullet"/>
      <w:lvlText w:val="•"/>
      <w:lvlJc w:val="left"/>
      <w:pPr>
        <w:tabs>
          <w:tab w:val="num" w:pos="2160"/>
        </w:tabs>
        <w:ind w:left="2160" w:hanging="360"/>
      </w:pPr>
      <w:rPr>
        <w:rFonts w:ascii="Arial" w:hAnsi="Arial" w:cs="Times New Roman" w:hint="default"/>
      </w:rPr>
    </w:lvl>
    <w:lvl w:ilvl="3" w:tplc="F766990C">
      <w:start w:val="1"/>
      <w:numFmt w:val="bullet"/>
      <w:lvlText w:val="•"/>
      <w:lvlJc w:val="left"/>
      <w:pPr>
        <w:tabs>
          <w:tab w:val="num" w:pos="2880"/>
        </w:tabs>
        <w:ind w:left="2880" w:hanging="360"/>
      </w:pPr>
      <w:rPr>
        <w:rFonts w:ascii="Arial" w:hAnsi="Arial" w:cs="Times New Roman" w:hint="default"/>
      </w:rPr>
    </w:lvl>
    <w:lvl w:ilvl="4" w:tplc="C6509D70">
      <w:start w:val="1"/>
      <w:numFmt w:val="bullet"/>
      <w:lvlText w:val="•"/>
      <w:lvlJc w:val="left"/>
      <w:pPr>
        <w:tabs>
          <w:tab w:val="num" w:pos="3600"/>
        </w:tabs>
        <w:ind w:left="3600" w:hanging="360"/>
      </w:pPr>
      <w:rPr>
        <w:rFonts w:ascii="Arial" w:hAnsi="Arial" w:cs="Times New Roman" w:hint="default"/>
      </w:rPr>
    </w:lvl>
    <w:lvl w:ilvl="5" w:tplc="7CA65838">
      <w:start w:val="1"/>
      <w:numFmt w:val="bullet"/>
      <w:lvlText w:val="•"/>
      <w:lvlJc w:val="left"/>
      <w:pPr>
        <w:tabs>
          <w:tab w:val="num" w:pos="4320"/>
        </w:tabs>
        <w:ind w:left="4320" w:hanging="360"/>
      </w:pPr>
      <w:rPr>
        <w:rFonts w:ascii="Arial" w:hAnsi="Arial" w:cs="Times New Roman" w:hint="default"/>
      </w:rPr>
    </w:lvl>
    <w:lvl w:ilvl="6" w:tplc="EF98558C">
      <w:start w:val="1"/>
      <w:numFmt w:val="bullet"/>
      <w:lvlText w:val="•"/>
      <w:lvlJc w:val="left"/>
      <w:pPr>
        <w:tabs>
          <w:tab w:val="num" w:pos="5040"/>
        </w:tabs>
        <w:ind w:left="5040" w:hanging="360"/>
      </w:pPr>
      <w:rPr>
        <w:rFonts w:ascii="Arial" w:hAnsi="Arial" w:cs="Times New Roman" w:hint="default"/>
      </w:rPr>
    </w:lvl>
    <w:lvl w:ilvl="7" w:tplc="3DF8CA6C">
      <w:start w:val="1"/>
      <w:numFmt w:val="bullet"/>
      <w:lvlText w:val="•"/>
      <w:lvlJc w:val="left"/>
      <w:pPr>
        <w:tabs>
          <w:tab w:val="num" w:pos="5760"/>
        </w:tabs>
        <w:ind w:left="5760" w:hanging="360"/>
      </w:pPr>
      <w:rPr>
        <w:rFonts w:ascii="Arial" w:hAnsi="Arial" w:cs="Times New Roman" w:hint="default"/>
      </w:rPr>
    </w:lvl>
    <w:lvl w:ilvl="8" w:tplc="1CCACC5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796C6D9C"/>
    <w:multiLevelType w:val="hybridMultilevel"/>
    <w:tmpl w:val="AFF0F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F6"/>
    <w:rsid w:val="000C4A39"/>
    <w:rsid w:val="00336F23"/>
    <w:rsid w:val="008863F6"/>
    <w:rsid w:val="00D43747"/>
    <w:rsid w:val="00F4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6014"/>
  <w15:chartTrackingRefBased/>
  <w15:docId w15:val="{81332BA5-8AA0-41C1-904A-3BD0164A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63F6"/>
    <w:pPr>
      <w:spacing w:after="0" w:line="240" w:lineRule="auto"/>
    </w:pPr>
    <w:rPr>
      <w:sz w:val="24"/>
      <w:szCs w:val="24"/>
    </w:rPr>
  </w:style>
  <w:style w:type="paragraph" w:styleId="Heading1">
    <w:name w:val="heading 1"/>
    <w:basedOn w:val="Normal"/>
    <w:next w:val="Normal"/>
    <w:link w:val="Heading1Char"/>
    <w:uiPriority w:val="9"/>
    <w:qFormat/>
    <w:rsid w:val="008863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63F6"/>
    <w:pPr>
      <w:keepNext/>
      <w:keepLines/>
      <w:spacing w:before="40"/>
      <w:outlineLvl w:val="1"/>
    </w:pPr>
    <w:rPr>
      <w:rFonts w:asciiTheme="majorHAnsi" w:eastAsiaTheme="majorEastAsia" w:hAnsiTheme="majorHAnsi" w:cstheme="majorBidi"/>
      <w:color w:val="2F5496" w:themeColor="accent1"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863F6"/>
    <w:rPr>
      <w:rFonts w:asciiTheme="majorHAnsi" w:eastAsiaTheme="majorEastAsia" w:hAnsiTheme="majorHAnsi" w:cstheme="majorBidi"/>
      <w:color w:val="2F5496" w:themeColor="accent1" w:themeShade="BF"/>
      <w:sz w:val="26"/>
      <w:szCs w:val="26"/>
      <w:u w:val="single"/>
    </w:rPr>
  </w:style>
  <w:style w:type="paragraph" w:styleId="NormalWeb">
    <w:name w:val="Normal (Web)"/>
    <w:basedOn w:val="Normal"/>
    <w:uiPriority w:val="99"/>
    <w:semiHidden/>
    <w:unhideWhenUsed/>
    <w:rsid w:val="008863F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863F6"/>
    <w:pPr>
      <w:ind w:left="720"/>
      <w:contextualSpacing/>
    </w:pPr>
  </w:style>
  <w:style w:type="paragraph" w:styleId="BalloonText">
    <w:name w:val="Balloon Text"/>
    <w:basedOn w:val="Normal"/>
    <w:link w:val="BalloonTextChar"/>
    <w:uiPriority w:val="99"/>
    <w:semiHidden/>
    <w:unhideWhenUsed/>
    <w:rsid w:val="00D43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6737A-2D47-4BEF-B185-1A608C2A3F09}"/>
</file>

<file path=customXml/itemProps2.xml><?xml version="1.0" encoding="utf-8"?>
<ds:datastoreItem xmlns:ds="http://schemas.openxmlformats.org/officeDocument/2006/customXml" ds:itemID="{4782E66D-383A-477E-80F5-954A3511CC45}"/>
</file>

<file path=customXml/itemProps3.xml><?xml version="1.0" encoding="utf-8"?>
<ds:datastoreItem xmlns:ds="http://schemas.openxmlformats.org/officeDocument/2006/customXml" ds:itemID="{BB477DFB-CA31-4AB5-BAAB-497DBCCD7D54}"/>
</file>

<file path=docProps/app.xml><?xml version="1.0" encoding="utf-8"?>
<Properties xmlns="http://schemas.openxmlformats.org/officeDocument/2006/extended-properties" xmlns:vt="http://schemas.openxmlformats.org/officeDocument/2006/docPropsVTypes">
  <Template>Normal</Template>
  <TotalTime>28</TotalTime>
  <Pages>5</Pages>
  <Words>1983</Words>
  <Characters>11309</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Secondary Transition Frequently Asked Questions</vt:lpstr>
      <vt:lpstr>    What are measurable postsecondary goals?  How are they different from annual goa</vt:lpstr>
      <vt:lpstr>    What are secondary transition services?</vt:lpstr>
      <vt:lpstr>    When is the description of Frequency, Location, and Duration required for a seco</vt:lpstr>
      <vt:lpstr>    What is the difference between a secondary transition service and secondary tran</vt:lpstr>
      <vt:lpstr>    What is a secondary transition activity?  What is a secondary transition strateg</vt:lpstr>
      <vt:lpstr>    Should an IEP list secondary transition activities the parent or student will ca</vt:lpstr>
      <vt:lpstr>    How does the IEP Team determine when an outside agency should be invited to the </vt:lpstr>
      <vt:lpstr>    </vt:lpstr>
      <vt:lpstr>    How does the IEP Team determine which outside agency should be invited to the IE</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Peterson</dc:creator>
  <cp:keywords/>
  <dc:description/>
  <cp:lastModifiedBy>Sandy Peterson</cp:lastModifiedBy>
  <cp:revision>2</cp:revision>
  <cp:lastPrinted>2020-02-16T17:45:00Z</cp:lastPrinted>
  <dcterms:created xsi:type="dcterms:W3CDTF">2020-02-15T17:32:00Z</dcterms:created>
  <dcterms:modified xsi:type="dcterms:W3CDTF">2020-02-16T18:19:00Z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